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59F77" w14:textId="18DA7031" w:rsidR="00301B87" w:rsidRDefault="001F7F94" w:rsidP="00C0741D">
      <w:pPr>
        <w:jc w:val="center"/>
        <w:rPr>
          <w:sz w:val="32"/>
          <w:szCs w:val="32"/>
        </w:rPr>
      </w:pPr>
      <w:r>
        <w:rPr>
          <w:sz w:val="32"/>
          <w:szCs w:val="32"/>
        </w:rPr>
        <w:t>Pravidla soutěže</w:t>
      </w:r>
      <w:r w:rsidR="00082539">
        <w:rPr>
          <w:sz w:val="32"/>
          <w:szCs w:val="32"/>
        </w:rPr>
        <w:t xml:space="preserve"> Broker </w:t>
      </w:r>
      <w:r w:rsidR="00A94680">
        <w:rPr>
          <w:sz w:val="32"/>
          <w:szCs w:val="32"/>
        </w:rPr>
        <w:t>kongres</w:t>
      </w:r>
      <w:r w:rsidR="00082539">
        <w:rPr>
          <w:sz w:val="32"/>
          <w:szCs w:val="32"/>
        </w:rPr>
        <w:t xml:space="preserve"> Evoluce</w:t>
      </w:r>
    </w:p>
    <w:p w14:paraId="15F09FBC" w14:textId="77777777" w:rsidR="00C0741D" w:rsidRPr="000702E0" w:rsidRDefault="00C0741D" w:rsidP="00C11CA9">
      <w:pPr>
        <w:ind w:left="720" w:hanging="360"/>
        <w:jc w:val="center"/>
        <w:rPr>
          <w:sz w:val="32"/>
          <w:szCs w:val="32"/>
        </w:rPr>
      </w:pPr>
    </w:p>
    <w:p w14:paraId="79B523B5" w14:textId="1253A359" w:rsidR="000702E0" w:rsidRPr="002C69D0" w:rsidRDefault="000702E0" w:rsidP="000702E0">
      <w:pPr>
        <w:rPr>
          <w:rFonts w:eastAsia="Times New Roman"/>
          <w:b/>
          <w:bCs/>
        </w:rPr>
      </w:pPr>
      <w:r w:rsidRPr="002C69D0">
        <w:rPr>
          <w:rFonts w:eastAsia="Times New Roman"/>
          <w:b/>
          <w:bCs/>
        </w:rPr>
        <w:t>Ja</w:t>
      </w:r>
      <w:r w:rsidR="00D936E9">
        <w:rPr>
          <w:rFonts w:eastAsia="Times New Roman"/>
          <w:b/>
          <w:bCs/>
        </w:rPr>
        <w:t>ký je princip soutěže</w:t>
      </w:r>
      <w:r w:rsidR="00813F12">
        <w:rPr>
          <w:rFonts w:eastAsia="Times New Roman"/>
          <w:b/>
          <w:bCs/>
        </w:rPr>
        <w:t xml:space="preserve"> a jak dlouho soutěž probíhá</w:t>
      </w:r>
      <w:r w:rsidRPr="002C69D0">
        <w:rPr>
          <w:rFonts w:eastAsia="Times New Roman"/>
          <w:b/>
          <w:bCs/>
        </w:rPr>
        <w:t>?</w:t>
      </w:r>
    </w:p>
    <w:p w14:paraId="25B6710D" w14:textId="6AD15FB3" w:rsidR="005F641B" w:rsidRDefault="00B13E09" w:rsidP="000702E0">
      <w:pPr>
        <w:rPr>
          <w:rFonts w:eastAsia="Times New Roman"/>
        </w:rPr>
      </w:pPr>
      <w:r>
        <w:rPr>
          <w:rFonts w:eastAsia="Times New Roman"/>
        </w:rPr>
        <w:t>Návštěvníci</w:t>
      </w:r>
      <w:r w:rsidR="00A445AB">
        <w:rPr>
          <w:rFonts w:eastAsia="Times New Roman"/>
        </w:rPr>
        <w:t xml:space="preserve"> Broker </w:t>
      </w:r>
      <w:r w:rsidR="00154AE8">
        <w:rPr>
          <w:rFonts w:eastAsia="Times New Roman"/>
        </w:rPr>
        <w:t>K</w:t>
      </w:r>
      <w:r w:rsidR="00A445AB">
        <w:rPr>
          <w:rFonts w:eastAsia="Times New Roman"/>
        </w:rPr>
        <w:t>ongresu sbírají body za</w:t>
      </w:r>
      <w:r w:rsidR="00477CA8">
        <w:rPr>
          <w:rFonts w:eastAsia="Times New Roman"/>
        </w:rPr>
        <w:t xml:space="preserve"> </w:t>
      </w:r>
      <w:r w:rsidR="00A5674B">
        <w:rPr>
          <w:rFonts w:eastAsia="Times New Roman"/>
        </w:rPr>
        <w:t xml:space="preserve">své </w:t>
      </w:r>
      <w:r w:rsidR="00477CA8">
        <w:rPr>
          <w:rFonts w:eastAsia="Times New Roman"/>
        </w:rPr>
        <w:t>aktivity</w:t>
      </w:r>
      <w:r w:rsidR="005A6A76">
        <w:rPr>
          <w:rFonts w:eastAsia="Times New Roman"/>
        </w:rPr>
        <w:t xml:space="preserve"> </w:t>
      </w:r>
      <w:r w:rsidR="00477CA8">
        <w:rPr>
          <w:rFonts w:eastAsia="Times New Roman"/>
        </w:rPr>
        <w:t>v průběhu celého kongresového dne</w:t>
      </w:r>
      <w:r w:rsidR="007E2E08">
        <w:rPr>
          <w:rFonts w:eastAsia="Times New Roman"/>
        </w:rPr>
        <w:t xml:space="preserve"> 16. 6. 2020. </w:t>
      </w:r>
      <w:r w:rsidR="005A6A76">
        <w:rPr>
          <w:rFonts w:eastAsia="Times New Roman"/>
        </w:rPr>
        <w:t>Při přihlášení</w:t>
      </w:r>
      <w:r w:rsidR="00DB200F" w:rsidRPr="00DB200F">
        <w:rPr>
          <w:rFonts w:eastAsia="Times New Roman"/>
        </w:rPr>
        <w:t xml:space="preserve"> </w:t>
      </w:r>
      <w:r w:rsidR="00DB200F">
        <w:rPr>
          <w:rFonts w:eastAsia="Times New Roman"/>
        </w:rPr>
        <w:t>na kongres získá</w:t>
      </w:r>
      <w:r w:rsidR="005A6A76">
        <w:rPr>
          <w:rFonts w:eastAsia="Times New Roman"/>
        </w:rPr>
        <w:t xml:space="preserve"> </w:t>
      </w:r>
      <w:r w:rsidR="005F641B">
        <w:rPr>
          <w:rFonts w:eastAsia="Times New Roman"/>
        </w:rPr>
        <w:t xml:space="preserve">každý návštěvník automaticky </w:t>
      </w:r>
      <w:r w:rsidR="00C0741D">
        <w:rPr>
          <w:rFonts w:eastAsia="Times New Roman"/>
        </w:rPr>
        <w:t xml:space="preserve">100 </w:t>
      </w:r>
      <w:r w:rsidR="005A6A76">
        <w:rPr>
          <w:rFonts w:eastAsia="Times New Roman"/>
        </w:rPr>
        <w:t xml:space="preserve">bodů. Další body </w:t>
      </w:r>
      <w:r w:rsidR="00154AE8">
        <w:rPr>
          <w:rFonts w:eastAsia="Times New Roman"/>
        </w:rPr>
        <w:t>účastníci sbírají</w:t>
      </w:r>
      <w:r w:rsidR="005A6A76">
        <w:rPr>
          <w:rFonts w:eastAsia="Times New Roman"/>
        </w:rPr>
        <w:t xml:space="preserve"> </w:t>
      </w:r>
      <w:r w:rsidR="00FA4112">
        <w:rPr>
          <w:rFonts w:eastAsia="Times New Roman"/>
        </w:rPr>
        <w:t xml:space="preserve">průběžně </w:t>
      </w:r>
      <w:r w:rsidR="005A6A76">
        <w:rPr>
          <w:rFonts w:eastAsia="Times New Roman"/>
        </w:rPr>
        <w:t xml:space="preserve">na základě </w:t>
      </w:r>
      <w:r w:rsidR="00154AE8">
        <w:rPr>
          <w:rFonts w:eastAsia="Times New Roman"/>
        </w:rPr>
        <w:t xml:space="preserve">své </w:t>
      </w:r>
      <w:r w:rsidR="005A6A76">
        <w:rPr>
          <w:rFonts w:eastAsia="Times New Roman"/>
        </w:rPr>
        <w:t>aktivity</w:t>
      </w:r>
      <w:r w:rsidR="00CD491F">
        <w:rPr>
          <w:rFonts w:eastAsia="Times New Roman"/>
        </w:rPr>
        <w:t xml:space="preserve"> na kongresu</w:t>
      </w:r>
      <w:r w:rsidR="005551EF">
        <w:rPr>
          <w:rFonts w:eastAsia="Times New Roman"/>
        </w:rPr>
        <w:t xml:space="preserve">. Čím je účastník aktivnější, tím více bodů získá. </w:t>
      </w:r>
      <w:r w:rsidR="00232AFA">
        <w:rPr>
          <w:rFonts w:eastAsia="Times New Roman"/>
        </w:rPr>
        <w:t xml:space="preserve">V průběhu kongresového dne </w:t>
      </w:r>
      <w:r w:rsidR="0096623F">
        <w:rPr>
          <w:rFonts w:eastAsia="Times New Roman"/>
        </w:rPr>
        <w:t xml:space="preserve">bude organizátor konference </w:t>
      </w:r>
      <w:r w:rsidR="00232AFA">
        <w:rPr>
          <w:rFonts w:eastAsia="Times New Roman"/>
        </w:rPr>
        <w:t xml:space="preserve">posílat tipy, kde je možné získat vyšší počet bodů. </w:t>
      </w:r>
    </w:p>
    <w:p w14:paraId="3925BFC3" w14:textId="3162336F" w:rsidR="009F1865" w:rsidRDefault="009F1865" w:rsidP="009F1865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Přihlášení na kongres </w:t>
      </w:r>
      <w:r w:rsidR="008063B4">
        <w:rPr>
          <w:rFonts w:eastAsia="Times New Roman"/>
        </w:rPr>
        <w:t>100 bodů</w:t>
      </w:r>
    </w:p>
    <w:p w14:paraId="1F5BFC0C" w14:textId="6CC7FF87" w:rsidR="008063B4" w:rsidRDefault="008063B4" w:rsidP="009F1865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Vstup na přednášku </w:t>
      </w:r>
      <w:r w:rsidR="00B21B81">
        <w:rPr>
          <w:rFonts w:eastAsia="Times New Roman"/>
        </w:rPr>
        <w:t>50 bodů</w:t>
      </w:r>
    </w:p>
    <w:p w14:paraId="4FA2CCC9" w14:textId="53FA5A76" w:rsidR="00B21B81" w:rsidRDefault="00B21B81" w:rsidP="009F1865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Stažení dokumentu</w:t>
      </w:r>
      <w:r w:rsidR="009276EE">
        <w:rPr>
          <w:rFonts w:eastAsia="Times New Roman"/>
        </w:rPr>
        <w:t xml:space="preserve"> na stánku</w:t>
      </w:r>
      <w:r>
        <w:rPr>
          <w:rFonts w:eastAsia="Times New Roman"/>
        </w:rPr>
        <w:t xml:space="preserve"> do tašky 100 bodů</w:t>
      </w:r>
    </w:p>
    <w:p w14:paraId="0A0A4FF1" w14:textId="4E36421C" w:rsidR="00B21B81" w:rsidRDefault="00B21B81" w:rsidP="009F1865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Spuštění videa na stánku partnera 100 bodů</w:t>
      </w:r>
    </w:p>
    <w:p w14:paraId="12930CC2" w14:textId="302D17CF" w:rsidR="00B21B81" w:rsidRDefault="000B5032" w:rsidP="009F1865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Položení dotazu do chatu na stánku </w:t>
      </w:r>
      <w:r w:rsidR="008931FF">
        <w:rPr>
          <w:rFonts w:eastAsia="Times New Roman"/>
        </w:rPr>
        <w:t>partnera 80 bodů</w:t>
      </w:r>
    </w:p>
    <w:p w14:paraId="26915CE9" w14:textId="40F68046" w:rsidR="008931FF" w:rsidRPr="00A9720C" w:rsidRDefault="008931FF" w:rsidP="00A9720C">
      <w:pPr>
        <w:pStyle w:val="Odstavecseseznamem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Ohodnocení přednášky 50 bodů</w:t>
      </w:r>
    </w:p>
    <w:p w14:paraId="40092E39" w14:textId="7EAE74DA" w:rsidR="005A6A76" w:rsidRPr="005A6A76" w:rsidRDefault="005A6A76" w:rsidP="000702E0">
      <w:pPr>
        <w:rPr>
          <w:rFonts w:eastAsia="Times New Roman"/>
          <w:b/>
          <w:bCs/>
        </w:rPr>
      </w:pPr>
      <w:r w:rsidRPr="005A6A76">
        <w:rPr>
          <w:rFonts w:eastAsia="Times New Roman"/>
          <w:b/>
          <w:bCs/>
        </w:rPr>
        <w:t xml:space="preserve">Kde </w:t>
      </w:r>
      <w:r w:rsidR="00DC3730">
        <w:rPr>
          <w:rFonts w:eastAsia="Times New Roman"/>
          <w:b/>
          <w:bCs/>
        </w:rPr>
        <w:t xml:space="preserve">můžete </w:t>
      </w:r>
      <w:r w:rsidRPr="005A6A76">
        <w:rPr>
          <w:rFonts w:eastAsia="Times New Roman"/>
          <w:b/>
          <w:bCs/>
        </w:rPr>
        <w:t>sledovat počet bodů?</w:t>
      </w:r>
    </w:p>
    <w:p w14:paraId="3B3F1CF2" w14:textId="5B7BD9E9" w:rsidR="000702E0" w:rsidRPr="005A6A76" w:rsidRDefault="005A6A76">
      <w:pPr>
        <w:rPr>
          <w:rFonts w:eastAsia="Times New Roman"/>
        </w:rPr>
      </w:pPr>
      <w:r>
        <w:rPr>
          <w:rFonts w:eastAsia="Times New Roman"/>
        </w:rPr>
        <w:t>Ve svém účtu naleznete aktuální přehled vašeho bodového konta</w:t>
      </w:r>
      <w:r w:rsidR="00960E57">
        <w:rPr>
          <w:rFonts w:eastAsia="Times New Roman"/>
        </w:rPr>
        <w:t xml:space="preserve"> a současně</w:t>
      </w:r>
      <w:r w:rsidR="00082539">
        <w:rPr>
          <w:rFonts w:eastAsia="Times New Roman"/>
        </w:rPr>
        <w:t xml:space="preserve"> zde</w:t>
      </w:r>
      <w:r w:rsidR="00960E57">
        <w:rPr>
          <w:rFonts w:eastAsia="Times New Roman"/>
        </w:rPr>
        <w:t xml:space="preserve"> zjistíte, na jakém místě se </w:t>
      </w:r>
      <w:r w:rsidR="00082539">
        <w:rPr>
          <w:rFonts w:eastAsia="Times New Roman"/>
        </w:rPr>
        <w:t xml:space="preserve">momentálně </w:t>
      </w:r>
      <w:r w:rsidR="00960E57">
        <w:rPr>
          <w:rFonts w:eastAsia="Times New Roman"/>
        </w:rPr>
        <w:t xml:space="preserve">nacházíte. </w:t>
      </w:r>
    </w:p>
    <w:p w14:paraId="7F463A64" w14:textId="505D5C5B" w:rsidR="000702E0" w:rsidRDefault="000702E0">
      <w:pPr>
        <w:rPr>
          <w:b/>
          <w:bCs/>
        </w:rPr>
      </w:pPr>
      <w:r w:rsidRPr="002C69D0">
        <w:rPr>
          <w:b/>
          <w:bCs/>
        </w:rPr>
        <w:t>Jaké</w:t>
      </w:r>
      <w:r w:rsidR="000E3FA8" w:rsidRPr="000E3FA8">
        <w:rPr>
          <w:b/>
          <w:bCs/>
        </w:rPr>
        <w:t xml:space="preserve"> </w:t>
      </w:r>
      <w:r w:rsidR="000E3FA8" w:rsidRPr="002C69D0">
        <w:rPr>
          <w:b/>
          <w:bCs/>
        </w:rPr>
        <w:t>odměny</w:t>
      </w:r>
      <w:r w:rsidRPr="002C69D0">
        <w:rPr>
          <w:b/>
          <w:bCs/>
        </w:rPr>
        <w:t xml:space="preserve"> může</w:t>
      </w:r>
      <w:r w:rsidR="002C69D0">
        <w:rPr>
          <w:b/>
          <w:bCs/>
        </w:rPr>
        <w:t>te</w:t>
      </w:r>
      <w:r w:rsidRPr="002C69D0">
        <w:rPr>
          <w:b/>
          <w:bCs/>
        </w:rPr>
        <w:t xml:space="preserve"> získat?</w:t>
      </w:r>
    </w:p>
    <w:p w14:paraId="443AFD4C" w14:textId="00F9672F" w:rsidR="005A6A76" w:rsidRDefault="00960E57">
      <w:r>
        <w:t xml:space="preserve">Pro </w:t>
      </w:r>
      <w:r w:rsidR="00301B87">
        <w:t>2</w:t>
      </w:r>
      <w:r>
        <w:t>0 účastníků s nejvyšším počtem bodů máme připraveny super ceny</w:t>
      </w:r>
      <w:r w:rsidR="00584884">
        <w:t xml:space="preserve">: </w:t>
      </w:r>
      <w:r w:rsidR="00A9720C">
        <w:t xml:space="preserve">1x </w:t>
      </w:r>
      <w:r w:rsidR="00584884">
        <w:t xml:space="preserve">elektrickou koloběžku, </w:t>
      </w:r>
      <w:r w:rsidR="00A9720C">
        <w:t xml:space="preserve">1x </w:t>
      </w:r>
      <w:r w:rsidR="00584884">
        <w:t xml:space="preserve">bezdrátový </w:t>
      </w:r>
      <w:r w:rsidR="00896959">
        <w:t xml:space="preserve">projektor, </w:t>
      </w:r>
      <w:r w:rsidR="00A9720C">
        <w:t xml:space="preserve">1x </w:t>
      </w:r>
      <w:r w:rsidR="00896959">
        <w:t xml:space="preserve">reproduktor </w:t>
      </w:r>
      <w:proofErr w:type="spellStart"/>
      <w:r w:rsidR="00896959">
        <w:t>Jabra</w:t>
      </w:r>
      <w:proofErr w:type="spellEnd"/>
      <w:r w:rsidR="00896959">
        <w:t xml:space="preserve"> </w:t>
      </w:r>
      <w:proofErr w:type="spellStart"/>
      <w:r w:rsidR="00896959">
        <w:t>speak</w:t>
      </w:r>
      <w:proofErr w:type="spellEnd"/>
      <w:r w:rsidR="00896959">
        <w:t xml:space="preserve">, </w:t>
      </w:r>
      <w:r w:rsidR="00A9720C">
        <w:t xml:space="preserve">7x </w:t>
      </w:r>
      <w:r w:rsidR="00896959">
        <w:t xml:space="preserve">solární </w:t>
      </w:r>
      <w:proofErr w:type="spellStart"/>
      <w:r w:rsidR="00896959">
        <w:t>power</w:t>
      </w:r>
      <w:proofErr w:type="spellEnd"/>
      <w:r w:rsidR="00896959">
        <w:t xml:space="preserve"> banku, </w:t>
      </w:r>
      <w:r w:rsidR="00A9720C">
        <w:t xml:space="preserve">10x </w:t>
      </w:r>
      <w:r w:rsidR="00896959">
        <w:t>předplatné časopisu Forbes</w:t>
      </w:r>
      <w:r w:rsidR="00E75C2C">
        <w:t>.</w:t>
      </w:r>
    </w:p>
    <w:p w14:paraId="2A889F0E" w14:textId="3D41B37E" w:rsidR="00301B87" w:rsidRDefault="005C0365"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CDEF47E" wp14:editId="1F6C825A">
            <wp:simplePos x="0" y="0"/>
            <wp:positionH relativeFrom="column">
              <wp:posOffset>4407535</wp:posOffset>
            </wp:positionH>
            <wp:positionV relativeFrom="paragraph">
              <wp:posOffset>173990</wp:posOffset>
            </wp:positionV>
            <wp:extent cx="981075" cy="1375410"/>
            <wp:effectExtent l="0" t="0" r="9525" b="0"/>
            <wp:wrapTight wrapText="bothSides">
              <wp:wrapPolygon edited="0">
                <wp:start x="0" y="0"/>
                <wp:lineTo x="0" y="21241"/>
                <wp:lineTo x="21390" y="21241"/>
                <wp:lineTo x="2139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214DBB0" wp14:editId="5EF3E3FE">
            <wp:simplePos x="0" y="0"/>
            <wp:positionH relativeFrom="column">
              <wp:posOffset>2247265</wp:posOffset>
            </wp:positionH>
            <wp:positionV relativeFrom="paragraph">
              <wp:posOffset>170180</wp:posOffset>
            </wp:positionV>
            <wp:extent cx="1057910" cy="1379220"/>
            <wp:effectExtent l="0" t="0" r="8890" b="0"/>
            <wp:wrapTight wrapText="bothSides">
              <wp:wrapPolygon edited="0">
                <wp:start x="0" y="0"/>
                <wp:lineTo x="0" y="21182"/>
                <wp:lineTo x="21393" y="21182"/>
                <wp:lineTo x="21393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209010" wp14:editId="1A9B48E8">
            <wp:simplePos x="0" y="0"/>
            <wp:positionH relativeFrom="column">
              <wp:posOffset>-635</wp:posOffset>
            </wp:positionH>
            <wp:positionV relativeFrom="paragraph">
              <wp:posOffset>172085</wp:posOffset>
            </wp:positionV>
            <wp:extent cx="137922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182" y="21182"/>
                <wp:lineTo x="2118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B53DF" w14:textId="3BBD1C38" w:rsidR="00301B87" w:rsidRDefault="00301B87"/>
    <w:p w14:paraId="6069BF4D" w14:textId="56A9690C" w:rsidR="00584884" w:rsidRDefault="00584884">
      <w:pPr>
        <w:rPr>
          <w:b/>
          <w:bCs/>
        </w:rPr>
      </w:pPr>
    </w:p>
    <w:p w14:paraId="5B72C0D0" w14:textId="4099EDDB" w:rsidR="00584884" w:rsidRDefault="00584884">
      <w:pPr>
        <w:rPr>
          <w:b/>
          <w:bCs/>
        </w:rPr>
      </w:pPr>
    </w:p>
    <w:p w14:paraId="4C06602B" w14:textId="28090D89" w:rsidR="00584884" w:rsidRDefault="00584884">
      <w:pPr>
        <w:rPr>
          <w:b/>
          <w:bCs/>
        </w:rPr>
      </w:pPr>
    </w:p>
    <w:p w14:paraId="57267CE1" w14:textId="4E1C83E5" w:rsidR="00584884" w:rsidRDefault="00584884">
      <w:pPr>
        <w:rPr>
          <w:b/>
          <w:bCs/>
        </w:rPr>
      </w:pPr>
    </w:p>
    <w:p w14:paraId="407C3B3F" w14:textId="36FCB751" w:rsidR="00584884" w:rsidRDefault="00EF01F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1E152E" wp14:editId="59923746">
            <wp:simplePos x="0" y="0"/>
            <wp:positionH relativeFrom="column">
              <wp:posOffset>3649345</wp:posOffset>
            </wp:positionH>
            <wp:positionV relativeFrom="paragraph">
              <wp:posOffset>6985</wp:posOffset>
            </wp:positionV>
            <wp:extent cx="111252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082" y="21082"/>
                <wp:lineTo x="2108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4F6CFDF6" wp14:editId="2242462A">
            <wp:simplePos x="0" y="0"/>
            <wp:positionH relativeFrom="column">
              <wp:posOffset>799465</wp:posOffset>
            </wp:positionH>
            <wp:positionV relativeFrom="paragraph">
              <wp:posOffset>67945</wp:posOffset>
            </wp:positionV>
            <wp:extent cx="2065655" cy="994410"/>
            <wp:effectExtent l="0" t="0" r="0" b="0"/>
            <wp:wrapTight wrapText="bothSides">
              <wp:wrapPolygon edited="0">
                <wp:start x="0" y="0"/>
                <wp:lineTo x="0" y="21103"/>
                <wp:lineTo x="21314" y="21103"/>
                <wp:lineTo x="2131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4E42D" w14:textId="463205C2" w:rsidR="00584884" w:rsidRDefault="00584884">
      <w:pPr>
        <w:rPr>
          <w:b/>
          <w:bCs/>
        </w:rPr>
      </w:pPr>
    </w:p>
    <w:p w14:paraId="71EB63A6" w14:textId="77777777" w:rsidR="005C0365" w:rsidRDefault="005C0365">
      <w:pPr>
        <w:rPr>
          <w:b/>
          <w:bCs/>
        </w:rPr>
      </w:pPr>
    </w:p>
    <w:p w14:paraId="2BB482E0" w14:textId="77777777" w:rsidR="005C0365" w:rsidRDefault="005C0365">
      <w:pPr>
        <w:rPr>
          <w:b/>
          <w:bCs/>
        </w:rPr>
      </w:pPr>
    </w:p>
    <w:p w14:paraId="1798511B" w14:textId="77777777" w:rsidR="00EF01FB" w:rsidRDefault="00EF01FB">
      <w:pPr>
        <w:rPr>
          <w:b/>
          <w:bCs/>
        </w:rPr>
      </w:pPr>
    </w:p>
    <w:p w14:paraId="6E251AAC" w14:textId="1B1534D3" w:rsidR="000702E0" w:rsidRDefault="000702E0">
      <w:pPr>
        <w:rPr>
          <w:b/>
          <w:bCs/>
        </w:rPr>
      </w:pPr>
      <w:r w:rsidRPr="002C69D0">
        <w:rPr>
          <w:b/>
          <w:bCs/>
        </w:rPr>
        <w:t>Jak vám předáme odměnu?</w:t>
      </w:r>
    </w:p>
    <w:p w14:paraId="207D1F83" w14:textId="71231D57" w:rsidR="005A6A76" w:rsidRDefault="00D76A5C">
      <w:r>
        <w:lastRenderedPageBreak/>
        <w:t>Neprodleně po</w:t>
      </w:r>
      <w:r w:rsidR="005A6A76" w:rsidRPr="005A6A76">
        <w:t xml:space="preserve"> ukončení akce se s vámi spojíme na emailu uvedeném v registraci a domluvíme se na předání. Odměnu vám můžeme poslat poštou, popř. si ji můžete vyzvednout na centrále Broker Trustu na adrese Hanusova 1114/18 v Praze 4.</w:t>
      </w:r>
    </w:p>
    <w:p w14:paraId="7CA61BC5" w14:textId="525890C3" w:rsidR="00A445AB" w:rsidRPr="002C69D0" w:rsidRDefault="00A445AB" w:rsidP="00A445AB">
      <w:pPr>
        <w:rPr>
          <w:rFonts w:eastAsia="Times New Roman"/>
          <w:b/>
          <w:bCs/>
        </w:rPr>
      </w:pPr>
      <w:r w:rsidRPr="002C69D0">
        <w:rPr>
          <w:rFonts w:eastAsia="Times New Roman"/>
          <w:b/>
          <w:bCs/>
        </w:rPr>
        <w:t xml:space="preserve">Jak </w:t>
      </w:r>
      <w:r>
        <w:rPr>
          <w:rFonts w:eastAsia="Times New Roman"/>
          <w:b/>
          <w:bCs/>
        </w:rPr>
        <w:t xml:space="preserve">a kdo </w:t>
      </w:r>
      <w:r w:rsidRPr="002C69D0">
        <w:rPr>
          <w:rFonts w:eastAsia="Times New Roman"/>
          <w:b/>
          <w:bCs/>
        </w:rPr>
        <w:t xml:space="preserve">se </w:t>
      </w:r>
      <w:r>
        <w:rPr>
          <w:rFonts w:eastAsia="Times New Roman"/>
          <w:b/>
          <w:bCs/>
        </w:rPr>
        <w:t>může účastnit</w:t>
      </w:r>
      <w:r w:rsidRPr="002C69D0">
        <w:rPr>
          <w:rFonts w:eastAsia="Times New Roman"/>
          <w:b/>
          <w:bCs/>
        </w:rPr>
        <w:t xml:space="preserve"> soutěže?</w:t>
      </w:r>
    </w:p>
    <w:p w14:paraId="22B547F6" w14:textId="118445A1" w:rsidR="000D4C4F" w:rsidRDefault="000D4C4F" w:rsidP="000D4C4F">
      <w:r>
        <w:t xml:space="preserve">Do soutěže budou automaticky zařazeni všichni registrovaní účastníci Broker Kongresu konaného 16. 6. 2020 na adrese </w:t>
      </w:r>
      <w:hyperlink r:id="rId13" w:history="1">
        <w:r>
          <w:rPr>
            <w:rStyle w:val="Hypertextovodkaz"/>
          </w:rPr>
          <w:t>www.brokerkongres.cz</w:t>
        </w:r>
      </w:hyperlink>
      <w:r>
        <w:t xml:space="preserve"> s výjimkou zaměstnanců, externích spolupracovníků a dodavatelů organizátora soutěže a </w:t>
      </w:r>
      <w:r w:rsidRPr="000D4C4F">
        <w:t>zástupců partnerů konference</w:t>
      </w:r>
      <w:r>
        <w:t>.</w:t>
      </w:r>
    </w:p>
    <w:p w14:paraId="7B2EB522" w14:textId="77777777" w:rsidR="00477CA8" w:rsidRDefault="00082539">
      <w:pPr>
        <w:rPr>
          <w:b/>
          <w:bCs/>
        </w:rPr>
      </w:pPr>
      <w:r w:rsidRPr="00082539">
        <w:rPr>
          <w:b/>
          <w:bCs/>
        </w:rPr>
        <w:t>Kdo soutěž pořádá?</w:t>
      </w:r>
    </w:p>
    <w:p w14:paraId="49E7E3AB" w14:textId="77777777" w:rsidR="00082539" w:rsidRPr="00082539" w:rsidRDefault="00082539">
      <w:pPr>
        <w:rPr>
          <w:rFonts w:cstheme="minorHAnsi"/>
        </w:rPr>
      </w:pPr>
      <w:r w:rsidRPr="00082539">
        <w:rPr>
          <w:rFonts w:cstheme="minorHAnsi"/>
        </w:rPr>
        <w:t xml:space="preserve">Soutěž pořádá </w:t>
      </w:r>
      <w:r>
        <w:rPr>
          <w:rFonts w:cstheme="minorHAnsi"/>
        </w:rPr>
        <w:t>or</w:t>
      </w:r>
      <w:r w:rsidRPr="00082539">
        <w:rPr>
          <w:rFonts w:cstheme="minorHAnsi"/>
        </w:rPr>
        <w:t>ganizátor Broker Kongresu společnost Broker Trust, a.s. (</w:t>
      </w:r>
      <w:r w:rsidRPr="00082539">
        <w:rPr>
          <w:rFonts w:cstheme="minorHAnsi"/>
          <w:color w:val="000000"/>
          <w:spacing w:val="-8"/>
        </w:rPr>
        <w:t xml:space="preserve">IČ: 26439719, DIČ: CZ26439719, zapsaná v obchodním rejstříku </w:t>
      </w:r>
      <w:proofErr w:type="spellStart"/>
      <w:r w:rsidRPr="00082539">
        <w:rPr>
          <w:rFonts w:cstheme="minorHAnsi"/>
          <w:color w:val="000000"/>
          <w:spacing w:val="-8"/>
        </w:rPr>
        <w:t>sp</w:t>
      </w:r>
      <w:proofErr w:type="spellEnd"/>
      <w:r w:rsidRPr="00082539">
        <w:rPr>
          <w:rFonts w:cstheme="minorHAnsi"/>
          <w:color w:val="000000"/>
          <w:spacing w:val="-8"/>
        </w:rPr>
        <w:t>. zn. B 7141 vedená u Městského soudu v Praze.)</w:t>
      </w:r>
    </w:p>
    <w:sectPr w:rsidR="00082539" w:rsidRPr="00082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73514"/>
    <w:multiLevelType w:val="hybridMultilevel"/>
    <w:tmpl w:val="4C084094"/>
    <w:lvl w:ilvl="0" w:tplc="7BEC93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46287"/>
    <w:multiLevelType w:val="hybridMultilevel"/>
    <w:tmpl w:val="BAE8C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2B8"/>
    <w:multiLevelType w:val="hybridMultilevel"/>
    <w:tmpl w:val="AF60A664"/>
    <w:lvl w:ilvl="0" w:tplc="0BC6EE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E0"/>
    <w:rsid w:val="000702E0"/>
    <w:rsid w:val="00072C16"/>
    <w:rsid w:val="0007502C"/>
    <w:rsid w:val="00082539"/>
    <w:rsid w:val="000B5032"/>
    <w:rsid w:val="000D4C4F"/>
    <w:rsid w:val="000E3FA8"/>
    <w:rsid w:val="00153F24"/>
    <w:rsid w:val="00154AE8"/>
    <w:rsid w:val="00180A61"/>
    <w:rsid w:val="001F7F94"/>
    <w:rsid w:val="00232AFA"/>
    <w:rsid w:val="0029465F"/>
    <w:rsid w:val="002C69D0"/>
    <w:rsid w:val="00301B87"/>
    <w:rsid w:val="003E1299"/>
    <w:rsid w:val="004369D3"/>
    <w:rsid w:val="00477CA8"/>
    <w:rsid w:val="00545B14"/>
    <w:rsid w:val="005551EF"/>
    <w:rsid w:val="00584884"/>
    <w:rsid w:val="005A6A76"/>
    <w:rsid w:val="005C0365"/>
    <w:rsid w:val="005D7BC9"/>
    <w:rsid w:val="005F641B"/>
    <w:rsid w:val="00635440"/>
    <w:rsid w:val="006F7D4D"/>
    <w:rsid w:val="007E2E08"/>
    <w:rsid w:val="008063B4"/>
    <w:rsid w:val="00813F12"/>
    <w:rsid w:val="008931FF"/>
    <w:rsid w:val="00896959"/>
    <w:rsid w:val="009276EE"/>
    <w:rsid w:val="00932B63"/>
    <w:rsid w:val="00960E57"/>
    <w:rsid w:val="0096623F"/>
    <w:rsid w:val="009F1865"/>
    <w:rsid w:val="00A445AB"/>
    <w:rsid w:val="00A5674B"/>
    <w:rsid w:val="00A94680"/>
    <w:rsid w:val="00A9720C"/>
    <w:rsid w:val="00B13E09"/>
    <w:rsid w:val="00B21B81"/>
    <w:rsid w:val="00B7443A"/>
    <w:rsid w:val="00BF5761"/>
    <w:rsid w:val="00C0741D"/>
    <w:rsid w:val="00C11CA9"/>
    <w:rsid w:val="00C302E2"/>
    <w:rsid w:val="00C40623"/>
    <w:rsid w:val="00CD491F"/>
    <w:rsid w:val="00CF10AF"/>
    <w:rsid w:val="00D03D42"/>
    <w:rsid w:val="00D50236"/>
    <w:rsid w:val="00D76A5C"/>
    <w:rsid w:val="00D92395"/>
    <w:rsid w:val="00D936E9"/>
    <w:rsid w:val="00DB200F"/>
    <w:rsid w:val="00DC3730"/>
    <w:rsid w:val="00E06365"/>
    <w:rsid w:val="00E75C2C"/>
    <w:rsid w:val="00EB2442"/>
    <w:rsid w:val="00EF01FB"/>
    <w:rsid w:val="00F57828"/>
    <w:rsid w:val="00FA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F19B"/>
  <w15:chartTrackingRefBased/>
  <w15:docId w15:val="{E19D72AE-B84D-4054-836C-07C320C9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02E0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77CA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477CA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7443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4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rokerkongres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4A2A5EBB272A489C0E26999E21E881" ma:contentTypeVersion="13" ma:contentTypeDescription="Vytvoří nový dokument" ma:contentTypeScope="" ma:versionID="de221c00ccc467617637eb64a8254bc8">
  <xsd:schema xmlns:xsd="http://www.w3.org/2001/XMLSchema" xmlns:xs="http://www.w3.org/2001/XMLSchema" xmlns:p="http://schemas.microsoft.com/office/2006/metadata/properties" xmlns:ns3="6ca9d89d-bfce-461a-bc38-4cacaa3e8b88" xmlns:ns4="0b326ee2-4fb1-44d7-8ead-c9a93ecfdf8c" targetNamespace="http://schemas.microsoft.com/office/2006/metadata/properties" ma:root="true" ma:fieldsID="99a0ea5d70c801ea5e04cd3138f7400d" ns3:_="" ns4:_="">
    <xsd:import namespace="6ca9d89d-bfce-461a-bc38-4cacaa3e8b88"/>
    <xsd:import namespace="0b326ee2-4fb1-44d7-8ead-c9a93ecfdf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9d89d-bfce-461a-bc38-4cacaa3e8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26ee2-4fb1-44d7-8ead-c9a93ecfd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6712F-37BD-4FC2-9F8D-4B547EE07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D83FF2-1045-4010-95A7-19B803EA56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92A33-D413-4041-8887-EB4E74157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9d89d-bfce-461a-bc38-4cacaa3e8b88"/>
    <ds:schemaRef ds:uri="0b326ee2-4fb1-44d7-8ead-c9a93ecfd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Kulová Lucie</dc:creator>
  <cp:keywords/>
  <dc:description/>
  <cp:lastModifiedBy>Kulová Lucie</cp:lastModifiedBy>
  <cp:revision>26</cp:revision>
  <dcterms:created xsi:type="dcterms:W3CDTF">2020-06-11T11:59:00Z</dcterms:created>
  <dcterms:modified xsi:type="dcterms:W3CDTF">2020-06-11T12:25:00Z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0x010100514A2A5EBB272A489C0E26999E21E881</vt:lpwstr>
  </property>
</Properties>
</file>